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uppressAutoHyphens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Media Creation - Planning and Outreach Worksheet</w:t>
      </w:r>
    </w:p>
    <w:p>
      <w:pPr>
        <w:pStyle w:val="Body A"/>
        <w:suppressAutoHyphens w:val="1"/>
        <w:rPr>
          <w:b w:val="1"/>
          <w:bCs w:val="1"/>
          <w:sz w:val="24"/>
          <w:szCs w:val="24"/>
        </w:rPr>
      </w:pPr>
    </w:p>
    <w:p>
      <w:pPr>
        <w:pStyle w:val="Body A"/>
        <w:suppressAutoHyphens w:val="1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As you develop a plan for your spaces and programs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—</w:t>
      </w:r>
      <w:r>
        <w:rPr>
          <w:i w:val="1"/>
          <w:iCs w:val="1"/>
          <w:sz w:val="24"/>
          <w:szCs w:val="24"/>
          <w:rtl w:val="0"/>
          <w:lang w:val="en-US"/>
        </w:rPr>
        <w:t>as well as your library-produced media-content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—</w:t>
      </w:r>
      <w:r>
        <w:rPr>
          <w:i w:val="1"/>
          <w:iCs w:val="1"/>
          <w:sz w:val="24"/>
          <w:szCs w:val="24"/>
          <w:rtl w:val="0"/>
          <w:lang w:val="en-US"/>
        </w:rPr>
        <w:t xml:space="preserve">this questionnaire is one resource to help guide your efforts. The questions here are a great start 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i w:val="1"/>
          <w:iCs w:val="1"/>
          <w:sz w:val="24"/>
          <w:szCs w:val="24"/>
          <w:rtl w:val="0"/>
          <w:lang w:val="en-US"/>
        </w:rPr>
        <w:t>though by no means exhaustive. Adapt freely with your own questions, perspectives and ideas.</w:t>
      </w:r>
    </w:p>
    <w:p>
      <w:pPr>
        <w:pStyle w:val="Body A"/>
        <w:suppressAutoHyphens w:val="1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Body A"/>
        <w:suppressAutoHyphens w:val="1"/>
        <w:rPr>
          <w:i w:val="1"/>
          <w:iCs w:val="1"/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listed 3 </w:t>
      </w:r>
      <w:r>
        <w:rPr>
          <w:b w:val="1"/>
          <w:bCs w:val="1"/>
          <w:sz w:val="24"/>
          <w:szCs w:val="24"/>
          <w:rtl w:val="0"/>
          <w:lang w:val="en-US"/>
        </w:rPr>
        <w:t>reasons that motivate people to create media content</w:t>
      </w:r>
      <w:r>
        <w:rPr>
          <w:sz w:val="24"/>
          <w:szCs w:val="24"/>
          <w:rtl w:val="0"/>
          <w:lang w:val="en-US"/>
        </w:rPr>
        <w:t xml:space="preserve"> (in the </w:t>
      </w:r>
      <w:hyperlink r:id="rId4" w:anchor="Advisors" w:history="1">
        <w:r>
          <w:rPr>
            <w:rStyle w:val="Hyperlink.0"/>
            <w:rFonts w:hAnsi="Helvetica" w:hint="default"/>
            <w:color w:val="0432ff"/>
            <w:rtl w:val="0"/>
            <w:lang w:val="en-US"/>
          </w:rPr>
          <w:t>Media Literacy in the Library Practitioners’ Guide</w:t>
        </w:r>
      </w:hyperlink>
      <w:r>
        <w:rPr>
          <w:sz w:val="24"/>
          <w:szCs w:val="24"/>
          <w:rtl w:val="0"/>
          <w:lang w:val="en-US"/>
        </w:rPr>
        <w:t xml:space="preserve"> and in the webinar). Thinking about your patrons, what goals might be motivating their media creation? This might guide the spaces and programs you design.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Along those lines, what are some of the </w:t>
      </w:r>
      <w:r>
        <w:rPr>
          <w:b w:val="1"/>
          <w:bCs w:val="1"/>
          <w:sz w:val="24"/>
          <w:szCs w:val="24"/>
          <w:rtl w:val="0"/>
          <w:lang w:val="en-US"/>
        </w:rPr>
        <w:t>goals</w:t>
      </w:r>
      <w:r>
        <w:rPr>
          <w:sz w:val="24"/>
          <w:szCs w:val="24"/>
          <w:rtl w:val="0"/>
          <w:lang w:val="en-US"/>
        </w:rPr>
        <w:t xml:space="preserve"> for your library in both media-literacy and media-creation outreach efforts?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Examples might include:</w:t>
      </w:r>
    </w:p>
    <w:p>
      <w:pPr>
        <w:pStyle w:val="Body A"/>
        <w:numPr>
          <w:ilvl w:val="0"/>
          <w:numId w:val="3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New ways to serve your community</w:t>
      </w:r>
    </w:p>
    <w:p>
      <w:pPr>
        <w:pStyle w:val="Body A"/>
        <w:numPr>
          <w:ilvl w:val="0"/>
          <w:numId w:val="6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Expanding perceptions of what the library is and can be</w:t>
      </w:r>
    </w:p>
    <w:p>
      <w:pPr>
        <w:pStyle w:val="Body A"/>
        <w:numPr>
          <w:ilvl w:val="0"/>
          <w:numId w:val="9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Building new partnerships and collaborations</w:t>
      </w:r>
    </w:p>
    <w:p>
      <w:pPr>
        <w:pStyle w:val="Body A"/>
        <w:numPr>
          <w:ilvl w:val="0"/>
          <w:numId w:val="12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Helping patrons find opportunities for self-expression</w:t>
      </w:r>
    </w:p>
    <w:p>
      <w:pPr>
        <w:pStyle w:val="Body A"/>
        <w:numPr>
          <w:ilvl w:val="0"/>
          <w:numId w:val="15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Helping local small business owners with branding and marketing</w:t>
      </w:r>
    </w:p>
    <w:p>
      <w:pPr>
        <w:pStyle w:val="Body A"/>
        <w:numPr>
          <w:ilvl w:val="0"/>
          <w:numId w:val="18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Helping patrons discover opportunities to advocate for social change</w:t>
      </w:r>
    </w:p>
    <w:p>
      <w:pPr>
        <w:pStyle w:val="Body A"/>
        <w:numPr>
          <w:ilvl w:val="0"/>
          <w:numId w:val="21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Helping patrons become more media literate</w:t>
      </w:r>
    </w:p>
    <w:p>
      <w:pPr>
        <w:pStyle w:val="Body A"/>
        <w:numPr>
          <w:ilvl w:val="0"/>
          <w:numId w:val="24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Helping patrons find ways to create content in ethical and responsive ways</w:t>
      </w:r>
    </w:p>
    <w:p>
      <w:pPr>
        <w:pStyle w:val="Body A"/>
        <w:numPr>
          <w:ilvl w:val="0"/>
          <w:numId w:val="27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Filling local voids in story-gathering and/or news-gathering</w:t>
      </w:r>
    </w:p>
    <w:p>
      <w:pPr>
        <w:pStyle w:val="Body A"/>
        <w:suppressAutoHyphens w:val="1"/>
        <w:rPr>
          <w:position w:val="-8"/>
          <w:sz w:val="24"/>
          <w:szCs w:val="24"/>
        </w:rPr>
      </w:pPr>
    </w:p>
    <w:p>
      <w:pPr>
        <w:pStyle w:val="Body A"/>
        <w:suppressAutoHyphens w:val="1"/>
        <w:rPr>
          <w:position w:val="-8"/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spaces</w:t>
      </w:r>
      <w:r>
        <w:rPr>
          <w:sz w:val="24"/>
          <w:szCs w:val="24"/>
          <w:rtl w:val="0"/>
          <w:lang w:val="en-US"/>
        </w:rPr>
        <w:t xml:space="preserve"> (physical and virtual) are patrons current using for media creation? What spaces can you envision that might facilitate this type of creativity and connectivity?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Equipment for check-out? Software needs?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(find examples at </w:t>
      </w:r>
      <w:hyperlink r:id="rId5" w:history="1">
        <w:r>
          <w:rPr>
            <w:rStyle w:val="Hyperlink.1"/>
            <w:color w:val="0432ff"/>
            <w:sz w:val="24"/>
            <w:szCs w:val="24"/>
            <w:u w:val="single" w:color="0432ff"/>
            <w:rtl w:val="0"/>
            <w:lang w:val="en-US"/>
          </w:rPr>
          <w:t>Auburn, Maine Public Library</w:t>
        </w:r>
      </w:hyperlink>
      <w:r>
        <w:rPr>
          <w:sz w:val="24"/>
          <w:szCs w:val="24"/>
          <w:rtl w:val="0"/>
          <w:lang w:val="en-US"/>
        </w:rPr>
        <w:t xml:space="preserve"> and </w:t>
      </w:r>
      <w:hyperlink r:id="rId6" w:history="1">
        <w:r>
          <w:rPr>
            <w:rStyle w:val="Hyperlink.1"/>
            <w:rFonts w:hAnsi="Helvetica" w:hint="default"/>
            <w:color w:val="0432ff"/>
            <w:sz w:val="24"/>
            <w:szCs w:val="24"/>
            <w:u w:val="single" w:color="0432ff"/>
            <w:rtl w:val="0"/>
            <w:lang w:val="en-US"/>
          </w:rPr>
          <w:t>Tacoma, Washington Public Library’s</w:t>
        </w:r>
      </w:hyperlink>
      <w:r>
        <w:rPr>
          <w:sz w:val="24"/>
          <w:szCs w:val="24"/>
          <w:rtl w:val="0"/>
          <w:lang w:val="en-US"/>
        </w:rPr>
        <w:t xml:space="preserve"> Digital Media Lab web links)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will you connect with patrons</w:t>
      </w:r>
      <w:r>
        <w:rPr>
          <w:sz w:val="24"/>
          <w:szCs w:val="24"/>
          <w:rtl w:val="0"/>
          <w:lang w:val="en-US"/>
        </w:rPr>
        <w:t xml:space="preserve"> to introduce them to your media-creation resources?</w:t>
      </w:r>
    </w:p>
    <w:p>
      <w:pPr>
        <w:pStyle w:val="Body A"/>
        <w:numPr>
          <w:ilvl w:val="0"/>
          <w:numId w:val="30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General marketing</w:t>
      </w:r>
    </w:p>
    <w:p>
      <w:pPr>
        <w:pStyle w:val="Body A"/>
        <w:numPr>
          <w:ilvl w:val="0"/>
          <w:numId w:val="33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At programs</w:t>
      </w:r>
    </w:p>
    <w:p>
      <w:pPr>
        <w:pStyle w:val="Body A"/>
        <w:numPr>
          <w:ilvl w:val="0"/>
          <w:numId w:val="36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By appointment</w:t>
      </w:r>
    </w:p>
    <w:p>
      <w:pPr>
        <w:pStyle w:val="Body A"/>
        <w:numPr>
          <w:ilvl w:val="0"/>
          <w:numId w:val="39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Drop-in office hours</w:t>
      </w:r>
    </w:p>
    <w:p>
      <w:pPr>
        <w:pStyle w:val="Body A"/>
        <w:numPr>
          <w:ilvl w:val="0"/>
          <w:numId w:val="42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On-the-spot and as-needed</w:t>
      </w:r>
    </w:p>
    <w:p>
      <w:pPr>
        <w:pStyle w:val="Body A"/>
        <w:numPr>
          <w:ilvl w:val="0"/>
          <w:numId w:val="45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>Through partnerships</w:t>
      </w:r>
    </w:p>
    <w:p>
      <w:pPr>
        <w:pStyle w:val="Body A"/>
        <w:numPr>
          <w:ilvl w:val="0"/>
          <w:numId w:val="48"/>
        </w:numPr>
        <w:tabs>
          <w:tab w:val="num" w:pos="165"/>
          <w:tab w:val="left" w:pos="180"/>
        </w:tabs>
        <w:suppressAutoHyphens w:val="1"/>
        <w:ind w:left="165" w:hanging="16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en-US"/>
        </w:rPr>
        <w:t xml:space="preserve"> A combination of the above</w:t>
      </w:r>
    </w:p>
    <w:p>
      <w:pPr>
        <w:pStyle w:val="Body A"/>
        <w:suppressAutoHyphens w:val="1"/>
        <w:rPr>
          <w:position w:val="-8"/>
          <w:sz w:val="24"/>
          <w:szCs w:val="24"/>
        </w:rPr>
      </w:pPr>
    </w:p>
    <w:p>
      <w:pPr>
        <w:pStyle w:val="Body A"/>
        <w:suppressAutoHyphens w:val="1"/>
        <w:rPr>
          <w:position w:val="-8"/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programs</w:t>
      </w:r>
      <w:r>
        <w:rPr>
          <w:sz w:val="24"/>
          <w:szCs w:val="24"/>
          <w:rtl w:val="0"/>
          <w:lang w:val="en-US"/>
        </w:rPr>
        <w:t xml:space="preserve"> are you currently offering that encourage media creation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 xml:space="preserve">directly or indirectly? (Need ideas?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 xml:space="preserve">see the </w:t>
      </w:r>
      <w:hyperlink r:id="rId7" w:anchor="Advisors" w:history="1">
        <w:r>
          <w:rPr>
            <w:rStyle w:val="Hyperlink.0"/>
            <w:rFonts w:hAnsi="Helvetica" w:hint="default"/>
            <w:color w:val="0432ff"/>
            <w:rtl w:val="0"/>
            <w:lang w:val="en-US"/>
          </w:rPr>
          <w:t>Media Literacy Practitioners’ Guide</w:t>
        </w:r>
      </w:hyperlink>
      <w:r>
        <w:rPr>
          <w:sz w:val="24"/>
          <w:szCs w:val="24"/>
          <w:rtl w:val="0"/>
          <w:lang w:val="en-US"/>
        </w:rPr>
        <w:t>, or examples in the six webinars)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Will you need 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 xml:space="preserve"> policies? User agreements? Model release forms? A vision statement? Will these be posted on your website?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(See a sample </w:t>
      </w:r>
      <w:hyperlink r:id="rId8" w:history="1">
        <w:r>
          <w:rPr>
            <w:rStyle w:val="Hyperlink.2"/>
            <w:color w:val="0432ff"/>
            <w:sz w:val="24"/>
            <w:szCs w:val="24"/>
            <w:u w:val="single" w:color="000000"/>
            <w:rtl w:val="0"/>
            <w:lang w:val="en-US"/>
          </w:rPr>
          <w:t>Model Release Form</w:t>
        </w:r>
      </w:hyperlink>
      <w:r>
        <w:rPr>
          <w:sz w:val="24"/>
          <w:szCs w:val="24"/>
          <w:rtl w:val="0"/>
          <w:lang w:val="en-US"/>
        </w:rPr>
        <w:t xml:space="preserve"> on CSLP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Teen Video Challenge promotion page)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(See Tacoma Public Library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Digital Media Lab </w:t>
      </w:r>
      <w:hyperlink r:id="rId9" w:history="1">
        <w:r>
          <w:rPr>
            <w:rStyle w:val="Hyperlink.2"/>
            <w:color w:val="0432ff"/>
            <w:sz w:val="24"/>
            <w:szCs w:val="24"/>
            <w:u w:val="single" w:color="000000"/>
            <w:rtl w:val="0"/>
            <w:lang w:val="en-US"/>
          </w:rPr>
          <w:t>vision statement</w:t>
        </w:r>
      </w:hyperlink>
      <w:r>
        <w:rPr>
          <w:sz w:val="24"/>
          <w:szCs w:val="24"/>
          <w:rtl w:val="0"/>
          <w:lang w:val="en-US"/>
        </w:rPr>
        <w:t xml:space="preserve"> for one sample)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Local Media Inventory:</w:t>
      </w:r>
      <w:r>
        <w:rPr>
          <w:sz w:val="24"/>
          <w:szCs w:val="24"/>
          <w:rtl w:val="0"/>
          <w:lang w:val="en-US"/>
        </w:rPr>
        <w:t xml:space="preserve"> What media resources exist in your community (examples might include: news outlets, reputable local social media sites, community access TV or radio, high school or college newspapers, and more)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</w:t>
      </w:r>
      <w:r>
        <w:rPr>
          <w:b w:val="1"/>
          <w:bCs w:val="1"/>
          <w:sz w:val="24"/>
          <w:szCs w:val="24"/>
          <w:rtl w:val="0"/>
          <w:lang w:val="en-US"/>
        </w:rPr>
        <w:t>current partners</w:t>
      </w:r>
      <w:r>
        <w:rPr>
          <w:sz w:val="24"/>
          <w:szCs w:val="24"/>
          <w:rtl w:val="0"/>
          <w:lang w:val="en-US"/>
        </w:rPr>
        <w:t xml:space="preserve"> might you seek out for both library-created media content and for patron programs?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</w:t>
      </w:r>
      <w:r>
        <w:rPr>
          <w:b w:val="1"/>
          <w:bCs w:val="1"/>
          <w:sz w:val="24"/>
          <w:szCs w:val="24"/>
          <w:rtl w:val="0"/>
          <w:lang w:val="en-US"/>
        </w:rPr>
        <w:t>future partners</w:t>
      </w:r>
      <w:r>
        <w:rPr>
          <w:sz w:val="24"/>
          <w:szCs w:val="24"/>
          <w:rtl w:val="0"/>
          <w:lang w:val="en-US"/>
        </w:rPr>
        <w:t xml:space="preserve"> might you seek out for both library-created media content and for patron programs?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are the special </w:t>
      </w:r>
      <w:r>
        <w:rPr>
          <w:b w:val="1"/>
          <w:bCs w:val="1"/>
          <w:sz w:val="24"/>
          <w:szCs w:val="24"/>
          <w:rtl w:val="0"/>
          <w:lang w:val="en-US"/>
        </w:rPr>
        <w:t>goals</w:t>
      </w:r>
      <w:r>
        <w:rPr>
          <w:sz w:val="24"/>
          <w:szCs w:val="24"/>
          <w:rtl w:val="0"/>
          <w:lang w:val="en-US"/>
        </w:rPr>
        <w:t xml:space="preserve"> for these current and future </w:t>
      </w:r>
      <w:r>
        <w:rPr>
          <w:b w:val="1"/>
          <w:bCs w:val="1"/>
          <w:sz w:val="24"/>
          <w:szCs w:val="24"/>
          <w:rtl w:val="0"/>
          <w:lang w:val="en-US"/>
        </w:rPr>
        <w:t>collaborations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your </w:t>
      </w:r>
      <w:r>
        <w:rPr>
          <w:b w:val="1"/>
          <w:bCs w:val="1"/>
          <w:sz w:val="24"/>
          <w:szCs w:val="24"/>
          <w:rtl w:val="0"/>
          <w:lang w:val="en-US"/>
        </w:rPr>
        <w:t>library-created media content</w:t>
      </w:r>
      <w:r>
        <w:rPr>
          <w:sz w:val="24"/>
          <w:szCs w:val="24"/>
          <w:rtl w:val="0"/>
          <w:lang w:val="en-US"/>
        </w:rPr>
        <w:t>, what current avenues are you using? What might you seek to use in the future?</w:t>
      </w:r>
    </w:p>
    <w:p>
      <w:pPr>
        <w:pStyle w:val="Body A"/>
        <w:suppressAutoHyphens w:val="1"/>
      </w:pPr>
      <w:r>
        <w:rPr>
          <w:sz w:val="24"/>
          <w:szCs w:val="24"/>
          <w:rtl w:val="0"/>
          <w:lang w:val="en-US"/>
        </w:rPr>
        <w:t>(examples might include online newsletters, YouTube videos and/or vlogs, podcasts, local storytelling, local connective journalism)</w:t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432ff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432ff"/>
      <w:sz w:val="24"/>
      <w:szCs w:val="24"/>
      <w:u w:val="single" w:color="0432ff"/>
      <w:lang w:val="en-US"/>
    </w:r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character" w:styleId="Hyperlink.2">
    <w:name w:val="Hyperlink.2"/>
    <w:basedOn w:val="None"/>
    <w:next w:val="Hyperlink.2"/>
    <w:rPr>
      <w:color w:val="0432ff"/>
      <w:sz w:val="24"/>
      <w:szCs w:val="24"/>
      <w:u w:val="singl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la.org/tools/programming/MediaLiteracy" TargetMode="External"/><Relationship Id="rId5" Type="http://schemas.openxmlformats.org/officeDocument/2006/relationships/hyperlink" Target="https://www.auburnpubliclibrary.org/media-lab/" TargetMode="External"/><Relationship Id="rId6" Type="http://schemas.openxmlformats.org/officeDocument/2006/relationships/hyperlink" Target="https://www.tacomalibrary.org/digital-media-labs/" TargetMode="External"/><Relationship Id="rId7" Type="http://schemas.openxmlformats.org/officeDocument/2006/relationships/hyperlink" Target="http://www.ala.org/tools/programming/MediaLiteracy" TargetMode="External"/><Relationship Id="rId8" Type="http://schemas.openxmlformats.org/officeDocument/2006/relationships/hyperlink" Target="https://www.cslpreads.org/programs/teen-program/2021-teen-video-challenge/" TargetMode="External"/><Relationship Id="rId9" Type="http://schemas.openxmlformats.org/officeDocument/2006/relationships/hyperlink" Target="https://estesvalleylibrary.org/wp-content/uploads/2021/04/Tacoma-Public-Library-Digital_Media_Lab_Values.pdf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